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6C" w:rsidRPr="00016C6C" w:rsidRDefault="00016C6C" w:rsidP="00016C6C">
      <w:pPr>
        <w:jc w:val="center"/>
        <w:rPr>
          <w:rFonts w:ascii="Arial Black" w:eastAsiaTheme="minorEastAsia" w:hAnsi="Arial Black"/>
          <w:sz w:val="36"/>
          <w:szCs w:val="36"/>
        </w:rPr>
      </w:pPr>
      <w:r w:rsidRPr="00016C6C">
        <w:rPr>
          <w:rFonts w:ascii="Arial Black" w:eastAsiaTheme="minorEastAsia" w:hAnsi="Arial Black"/>
          <w:sz w:val="36"/>
          <w:szCs w:val="36"/>
        </w:rPr>
        <w:t>СОВЕТ  ДЕПУТАТОВ</w:t>
      </w:r>
    </w:p>
    <w:p w:rsidR="00016C6C" w:rsidRPr="00016C6C" w:rsidRDefault="00016C6C" w:rsidP="00016C6C">
      <w:pPr>
        <w:jc w:val="center"/>
        <w:rPr>
          <w:rFonts w:ascii="Arial Black" w:eastAsiaTheme="minorEastAsia" w:hAnsi="Arial Black"/>
          <w:sz w:val="28"/>
          <w:szCs w:val="28"/>
        </w:rPr>
      </w:pPr>
      <w:r w:rsidRPr="00016C6C">
        <w:rPr>
          <w:rFonts w:ascii="Arial Black" w:eastAsiaTheme="minorEastAsia" w:hAnsi="Arial Black"/>
          <w:sz w:val="28"/>
          <w:szCs w:val="28"/>
        </w:rPr>
        <w:t xml:space="preserve">МУНИЦИПАЛЬНОГО  ОКРУГА  </w:t>
      </w:r>
      <w:proofErr w:type="gramStart"/>
      <w:r w:rsidRPr="00016C6C">
        <w:rPr>
          <w:rFonts w:ascii="Arial Black" w:eastAsiaTheme="minorEastAsia" w:hAnsi="Arial Black"/>
          <w:sz w:val="28"/>
          <w:szCs w:val="28"/>
        </w:rPr>
        <w:t>БУТЫРСКИЙ</w:t>
      </w:r>
      <w:proofErr w:type="gramEnd"/>
    </w:p>
    <w:p w:rsidR="00016C6C" w:rsidRPr="00016C6C" w:rsidRDefault="00016C6C" w:rsidP="00016C6C">
      <w:pPr>
        <w:rPr>
          <w:rFonts w:ascii="Calibri" w:eastAsiaTheme="minorEastAsia" w:hAnsi="Calibri"/>
          <w:sz w:val="28"/>
          <w:szCs w:val="28"/>
        </w:rPr>
      </w:pPr>
    </w:p>
    <w:p w:rsidR="00016C6C" w:rsidRPr="00016C6C" w:rsidRDefault="00016C6C" w:rsidP="00016C6C">
      <w:pPr>
        <w:jc w:val="center"/>
        <w:rPr>
          <w:rFonts w:ascii="Arial Black" w:eastAsiaTheme="minorEastAsia" w:hAnsi="Arial Black"/>
          <w:sz w:val="28"/>
          <w:szCs w:val="28"/>
        </w:rPr>
      </w:pPr>
      <w:proofErr w:type="gramStart"/>
      <w:r w:rsidRPr="00016C6C">
        <w:rPr>
          <w:rFonts w:ascii="Arial Black" w:eastAsiaTheme="minorEastAsia" w:hAnsi="Arial Black"/>
          <w:sz w:val="28"/>
          <w:szCs w:val="28"/>
        </w:rPr>
        <w:t>Р</w:t>
      </w:r>
      <w:proofErr w:type="gramEnd"/>
      <w:r w:rsidRPr="00016C6C">
        <w:rPr>
          <w:rFonts w:ascii="Arial Black" w:eastAsiaTheme="minorEastAsia" w:hAnsi="Arial Black"/>
          <w:sz w:val="28"/>
          <w:szCs w:val="28"/>
        </w:rPr>
        <w:t xml:space="preserve"> Е Ш Е Н И Е</w:t>
      </w:r>
    </w:p>
    <w:p w:rsidR="00016C6C" w:rsidRPr="00016C6C" w:rsidRDefault="00016C6C" w:rsidP="00016C6C">
      <w:pPr>
        <w:rPr>
          <w:rFonts w:ascii="Calibri" w:eastAsiaTheme="minorEastAsia" w:hAnsi="Calibri"/>
          <w:sz w:val="22"/>
          <w:szCs w:val="22"/>
        </w:rPr>
      </w:pPr>
    </w:p>
    <w:p w:rsidR="00016C6C" w:rsidRPr="00016C6C" w:rsidRDefault="00016C6C" w:rsidP="00016C6C">
      <w:pPr>
        <w:rPr>
          <w:rFonts w:ascii="Arial Black" w:eastAsiaTheme="minorEastAsia" w:hAnsi="Arial Black" w:cs="Arial"/>
          <w:sz w:val="28"/>
          <w:szCs w:val="28"/>
        </w:rPr>
      </w:pPr>
    </w:p>
    <w:p w:rsidR="00016C6C" w:rsidRPr="00016C6C" w:rsidRDefault="00016C6C" w:rsidP="00016C6C">
      <w:pPr>
        <w:rPr>
          <w:rFonts w:eastAsiaTheme="minorEastAsia"/>
          <w:sz w:val="28"/>
          <w:szCs w:val="28"/>
        </w:rPr>
      </w:pPr>
      <w:r w:rsidRPr="00016C6C">
        <w:rPr>
          <w:rFonts w:eastAsiaTheme="minorEastAsia"/>
          <w:sz w:val="28"/>
          <w:szCs w:val="28"/>
        </w:rPr>
        <w:t xml:space="preserve">27.08.2019 № 01-04/13-3                                                         </w:t>
      </w:r>
    </w:p>
    <w:p w:rsidR="00016C6C" w:rsidRPr="00016C6C" w:rsidRDefault="00016C6C" w:rsidP="00016C6C">
      <w:pPr>
        <w:jc w:val="right"/>
        <w:rPr>
          <w:rFonts w:eastAsiaTheme="minorEastAsia"/>
          <w:u w:val="single"/>
        </w:rPr>
      </w:pPr>
    </w:p>
    <w:p w:rsidR="00016C6C" w:rsidRPr="00016C6C" w:rsidRDefault="00016C6C" w:rsidP="00016C6C">
      <w:pPr>
        <w:tabs>
          <w:tab w:val="left" w:pos="3261"/>
          <w:tab w:val="left" w:pos="4111"/>
        </w:tabs>
        <w:ind w:right="4819"/>
        <w:jc w:val="both"/>
        <w:rPr>
          <w:rFonts w:eastAsiaTheme="minorEastAsia"/>
          <w:b/>
          <w:sz w:val="28"/>
          <w:szCs w:val="28"/>
        </w:rPr>
      </w:pPr>
    </w:p>
    <w:p w:rsidR="00E15F02" w:rsidRPr="00E15F02" w:rsidRDefault="00E15F02" w:rsidP="00E15F02">
      <w:pPr>
        <w:tabs>
          <w:tab w:val="left" w:pos="3261"/>
          <w:tab w:val="left" w:pos="4111"/>
        </w:tabs>
        <w:ind w:right="4819"/>
        <w:jc w:val="both"/>
        <w:rPr>
          <w:rFonts w:eastAsiaTheme="minorEastAsia"/>
          <w:b/>
          <w:sz w:val="26"/>
          <w:szCs w:val="26"/>
        </w:rPr>
      </w:pPr>
      <w:r w:rsidRPr="00E15F02">
        <w:rPr>
          <w:rFonts w:eastAsiaTheme="minorEastAsia"/>
          <w:b/>
          <w:sz w:val="26"/>
          <w:szCs w:val="26"/>
        </w:rPr>
        <w:t>О порядке установки ограждений</w:t>
      </w:r>
    </w:p>
    <w:p w:rsidR="00E15F02" w:rsidRPr="00E15F02" w:rsidRDefault="00E15F02" w:rsidP="00E15F02">
      <w:pPr>
        <w:tabs>
          <w:tab w:val="left" w:pos="3261"/>
          <w:tab w:val="left" w:pos="4111"/>
        </w:tabs>
        <w:ind w:right="4819"/>
        <w:jc w:val="both"/>
        <w:rPr>
          <w:rFonts w:eastAsiaTheme="minorEastAsia"/>
          <w:b/>
          <w:sz w:val="26"/>
          <w:szCs w:val="26"/>
        </w:rPr>
      </w:pPr>
      <w:r w:rsidRPr="00E15F02">
        <w:rPr>
          <w:rFonts w:eastAsiaTheme="minorEastAsia"/>
          <w:b/>
          <w:sz w:val="26"/>
          <w:szCs w:val="26"/>
        </w:rPr>
        <w:t>на придомовых территориях</w:t>
      </w:r>
    </w:p>
    <w:p w:rsidR="00016C6C" w:rsidRPr="00016C6C" w:rsidRDefault="00E15F02" w:rsidP="00E15F02">
      <w:pPr>
        <w:tabs>
          <w:tab w:val="left" w:pos="3261"/>
          <w:tab w:val="left" w:pos="4111"/>
        </w:tabs>
        <w:ind w:right="4819"/>
        <w:jc w:val="both"/>
        <w:rPr>
          <w:rFonts w:eastAsiaTheme="minorEastAsia"/>
          <w:b/>
          <w:sz w:val="26"/>
          <w:szCs w:val="26"/>
        </w:rPr>
      </w:pPr>
      <w:r w:rsidRPr="00E15F02">
        <w:rPr>
          <w:rFonts w:eastAsiaTheme="minorEastAsia"/>
          <w:b/>
          <w:sz w:val="26"/>
          <w:szCs w:val="26"/>
        </w:rPr>
        <w:t xml:space="preserve">муниципального округа </w:t>
      </w:r>
      <w:proofErr w:type="gramStart"/>
      <w:r w:rsidRPr="00E15F02">
        <w:rPr>
          <w:rFonts w:eastAsiaTheme="minorEastAsia"/>
          <w:b/>
          <w:sz w:val="26"/>
          <w:szCs w:val="26"/>
        </w:rPr>
        <w:t>Бутырский</w:t>
      </w:r>
      <w:proofErr w:type="gramEnd"/>
    </w:p>
    <w:p w:rsidR="00016C6C" w:rsidRPr="00016C6C" w:rsidRDefault="00016C6C" w:rsidP="00016C6C">
      <w:pPr>
        <w:tabs>
          <w:tab w:val="left" w:pos="3261"/>
          <w:tab w:val="left" w:pos="4111"/>
        </w:tabs>
        <w:ind w:right="4819"/>
        <w:jc w:val="both"/>
        <w:rPr>
          <w:rFonts w:eastAsiaTheme="minorEastAsia"/>
          <w:b/>
          <w:sz w:val="26"/>
          <w:szCs w:val="26"/>
        </w:rPr>
      </w:pPr>
    </w:p>
    <w:p w:rsidR="00016C6C" w:rsidRPr="00016C6C" w:rsidRDefault="00016C6C" w:rsidP="00016C6C">
      <w:pPr>
        <w:tabs>
          <w:tab w:val="left" w:pos="3261"/>
          <w:tab w:val="left" w:pos="4111"/>
        </w:tabs>
        <w:ind w:right="-1" w:firstLine="567"/>
        <w:jc w:val="both"/>
        <w:rPr>
          <w:rFonts w:eastAsiaTheme="minorEastAsia"/>
          <w:b/>
          <w:bCs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В соответствии с постановлением Правительства Москвы от 02 июля 2013 года №  428-ПП «О порядке установки ограждений на придомовых территориях в городе Москве» (с дополнениями и изменениями), в целях повышения уровня благоустройства придомовых территорий и обеспечения комфортной городской среды </w:t>
      </w:r>
      <w:r w:rsidRPr="00016C6C">
        <w:rPr>
          <w:rFonts w:eastAsiaTheme="minorEastAsia"/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016C6C" w:rsidRPr="00016C6C" w:rsidRDefault="00016C6C" w:rsidP="00016C6C">
      <w:pPr>
        <w:tabs>
          <w:tab w:val="left" w:pos="3261"/>
          <w:tab w:val="left" w:pos="4111"/>
        </w:tabs>
        <w:ind w:right="-1"/>
        <w:jc w:val="center"/>
        <w:rPr>
          <w:rFonts w:eastAsiaTheme="minorEastAsia"/>
          <w:b/>
          <w:bCs/>
          <w:sz w:val="26"/>
          <w:szCs w:val="26"/>
        </w:rPr>
      </w:pPr>
    </w:p>
    <w:p w:rsidR="00016C6C" w:rsidRPr="00016C6C" w:rsidRDefault="00016C6C" w:rsidP="00E15F02">
      <w:pPr>
        <w:ind w:firstLine="284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1. Утвердить Порядок установки ограждений на придомовых территориях муниципального округа Бутырский (приложение).</w:t>
      </w:r>
    </w:p>
    <w:p w:rsidR="00016C6C" w:rsidRPr="00016C6C" w:rsidRDefault="00016C6C" w:rsidP="00E15F02">
      <w:pPr>
        <w:ind w:firstLine="284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2. Решение Совета депутатов муниципального округа </w:t>
      </w:r>
      <w:proofErr w:type="gramStart"/>
      <w:r w:rsidRPr="00016C6C">
        <w:rPr>
          <w:rFonts w:eastAsiaTheme="minorEastAsia"/>
          <w:sz w:val="26"/>
          <w:szCs w:val="26"/>
        </w:rPr>
        <w:t>Бутырский</w:t>
      </w:r>
      <w:proofErr w:type="gramEnd"/>
      <w:r w:rsidRPr="00016C6C">
        <w:rPr>
          <w:rFonts w:eastAsiaTheme="minorEastAsia"/>
          <w:sz w:val="26"/>
          <w:szCs w:val="26"/>
        </w:rPr>
        <w:t xml:space="preserve"> от 25 июля 2013 года № 01-01-9/3 «О порядке установки ограждений на придомовых территориях муниципального округа Бутырский» признать утратившим силу.</w:t>
      </w:r>
    </w:p>
    <w:p w:rsidR="00016C6C" w:rsidRPr="00016C6C" w:rsidRDefault="00E15F02" w:rsidP="00E15F02">
      <w:pPr>
        <w:ind w:firstLine="284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3.</w:t>
      </w:r>
      <w:r w:rsidR="00016C6C" w:rsidRPr="00016C6C">
        <w:rPr>
          <w:rFonts w:eastAsiaTheme="minorEastAsia"/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016C6C" w:rsidRPr="00016C6C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www</w:t>
        </w:r>
        <w:r w:rsidR="00016C6C" w:rsidRPr="00016C6C">
          <w:rPr>
            <w:rFonts w:eastAsiaTheme="minorEastAsia"/>
            <w:color w:val="0000FF"/>
            <w:sz w:val="26"/>
            <w:szCs w:val="26"/>
            <w:u w:val="single"/>
          </w:rPr>
          <w:t>.</w:t>
        </w:r>
        <w:proofErr w:type="spellStart"/>
        <w:r w:rsidR="00016C6C" w:rsidRPr="00016C6C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butyrskoe</w:t>
        </w:r>
        <w:proofErr w:type="spellEnd"/>
        <w:r w:rsidR="00016C6C" w:rsidRPr="00016C6C">
          <w:rPr>
            <w:rFonts w:eastAsiaTheme="minorEastAsia"/>
            <w:color w:val="0000FF"/>
            <w:sz w:val="26"/>
            <w:szCs w:val="26"/>
            <w:u w:val="single"/>
          </w:rPr>
          <w:t>.</w:t>
        </w:r>
        <w:proofErr w:type="spellStart"/>
        <w:r w:rsidR="00016C6C" w:rsidRPr="00016C6C">
          <w:rPr>
            <w:rFonts w:eastAsiaTheme="minorEastAsia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016C6C" w:rsidRPr="00016C6C">
        <w:rPr>
          <w:rFonts w:eastAsiaTheme="minorEastAsia"/>
          <w:b/>
          <w:sz w:val="26"/>
          <w:szCs w:val="26"/>
        </w:rPr>
        <w:t xml:space="preserve">. </w:t>
      </w:r>
    </w:p>
    <w:p w:rsidR="00016C6C" w:rsidRPr="00016C6C" w:rsidRDefault="00016C6C" w:rsidP="00E15F02">
      <w:pPr>
        <w:ind w:firstLine="284"/>
        <w:jc w:val="both"/>
        <w:rPr>
          <w:rFonts w:eastAsiaTheme="minorEastAsia"/>
          <w:spacing w:val="-1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4. </w:t>
      </w:r>
      <w:proofErr w:type="gramStart"/>
      <w:r w:rsidRPr="00016C6C">
        <w:rPr>
          <w:rFonts w:eastAsiaTheme="minorEastAsia"/>
          <w:spacing w:val="-1"/>
          <w:sz w:val="26"/>
          <w:szCs w:val="26"/>
        </w:rPr>
        <w:t>Контроль за</w:t>
      </w:r>
      <w:proofErr w:type="gramEnd"/>
      <w:r w:rsidRPr="00016C6C">
        <w:rPr>
          <w:rFonts w:eastAsiaTheme="minorEastAsia"/>
          <w:spacing w:val="-1"/>
          <w:sz w:val="26"/>
          <w:szCs w:val="26"/>
        </w:rPr>
        <w:t xml:space="preserve"> исполнением данного решения возложить на председателя </w:t>
      </w:r>
      <w:r w:rsidRPr="00016C6C">
        <w:rPr>
          <w:rFonts w:eastAsiaTheme="minorEastAsia"/>
          <w:sz w:val="26"/>
          <w:szCs w:val="26"/>
        </w:rPr>
        <w:t>Постоянной комиссии Совета депутатов муниципального округа Бутырский по вопросам транспорта, потребительского рынка и предпринимательства Тупицына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Д.В. </w:t>
      </w:r>
    </w:p>
    <w:p w:rsidR="00016C6C" w:rsidRPr="00016C6C" w:rsidRDefault="00016C6C" w:rsidP="00016C6C">
      <w:pPr>
        <w:rPr>
          <w:rFonts w:eastAsiaTheme="minorEastAsia"/>
          <w:sz w:val="26"/>
          <w:szCs w:val="26"/>
        </w:rPr>
      </w:pPr>
    </w:p>
    <w:p w:rsidR="00016C6C" w:rsidRPr="00016C6C" w:rsidRDefault="00016C6C" w:rsidP="00016C6C">
      <w:pPr>
        <w:rPr>
          <w:rFonts w:eastAsiaTheme="minorEastAsia"/>
          <w:sz w:val="26"/>
          <w:szCs w:val="26"/>
        </w:rPr>
      </w:pPr>
    </w:p>
    <w:p w:rsidR="00016C6C" w:rsidRPr="00016C6C" w:rsidRDefault="00016C6C" w:rsidP="00016C6C">
      <w:pPr>
        <w:tabs>
          <w:tab w:val="left" w:pos="3261"/>
          <w:tab w:val="left" w:pos="4111"/>
        </w:tabs>
        <w:ind w:right="-1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b/>
          <w:sz w:val="26"/>
          <w:szCs w:val="26"/>
        </w:rPr>
        <w:t>Глава муниципального округа Бутырский                           А.П. Осипенко</w:t>
      </w:r>
    </w:p>
    <w:p w:rsidR="00016C6C" w:rsidRPr="00016C6C" w:rsidRDefault="00016C6C" w:rsidP="00016C6C">
      <w:pPr>
        <w:tabs>
          <w:tab w:val="left" w:pos="3261"/>
          <w:tab w:val="left" w:pos="4111"/>
        </w:tabs>
        <w:ind w:right="-1"/>
        <w:rPr>
          <w:rFonts w:eastAsiaTheme="minorEastAsia"/>
          <w:b/>
        </w:rPr>
      </w:pPr>
    </w:p>
    <w:p w:rsidR="00016C6C" w:rsidRPr="00016C6C" w:rsidRDefault="00016C6C" w:rsidP="00016C6C">
      <w:pPr>
        <w:tabs>
          <w:tab w:val="left" w:pos="3261"/>
          <w:tab w:val="left" w:pos="4111"/>
        </w:tabs>
        <w:ind w:right="-1"/>
        <w:rPr>
          <w:rFonts w:eastAsiaTheme="minorEastAsia"/>
          <w:b/>
        </w:rPr>
      </w:pPr>
    </w:p>
    <w:p w:rsidR="00016C6C" w:rsidRPr="00016C6C" w:rsidRDefault="00016C6C" w:rsidP="00016C6C">
      <w:pPr>
        <w:tabs>
          <w:tab w:val="left" w:pos="3261"/>
          <w:tab w:val="left" w:pos="4111"/>
        </w:tabs>
        <w:ind w:right="-1"/>
        <w:rPr>
          <w:rFonts w:eastAsiaTheme="minorEastAsia"/>
          <w:b/>
        </w:rPr>
      </w:pPr>
    </w:p>
    <w:p w:rsidR="00016C6C" w:rsidRPr="00016C6C" w:rsidRDefault="00016C6C" w:rsidP="00016C6C">
      <w:pPr>
        <w:tabs>
          <w:tab w:val="left" w:pos="3261"/>
          <w:tab w:val="left" w:pos="4111"/>
        </w:tabs>
        <w:ind w:right="-1"/>
        <w:rPr>
          <w:rFonts w:eastAsiaTheme="minorEastAsia"/>
          <w:b/>
        </w:rPr>
      </w:pPr>
    </w:p>
    <w:p w:rsidR="00016C6C" w:rsidRPr="00016C6C" w:rsidRDefault="00016C6C" w:rsidP="00016C6C">
      <w:pPr>
        <w:tabs>
          <w:tab w:val="left" w:pos="3261"/>
          <w:tab w:val="left" w:pos="4111"/>
        </w:tabs>
        <w:ind w:right="-1"/>
        <w:rPr>
          <w:rFonts w:eastAsiaTheme="minorEastAsia"/>
          <w:sz w:val="28"/>
          <w:szCs w:val="28"/>
        </w:rPr>
      </w:pPr>
    </w:p>
    <w:p w:rsidR="00016C6C" w:rsidRPr="00016C6C" w:rsidRDefault="00016C6C" w:rsidP="00016C6C">
      <w:pPr>
        <w:jc w:val="both"/>
        <w:rPr>
          <w:rFonts w:eastAsiaTheme="minorEastAsia"/>
          <w:sz w:val="28"/>
          <w:szCs w:val="28"/>
        </w:rPr>
      </w:pPr>
    </w:p>
    <w:p w:rsidR="00016C6C" w:rsidRDefault="00016C6C" w:rsidP="00016C6C">
      <w:pPr>
        <w:jc w:val="both"/>
        <w:rPr>
          <w:rFonts w:eastAsiaTheme="minorEastAsia"/>
          <w:b/>
          <w:sz w:val="26"/>
          <w:szCs w:val="26"/>
        </w:rPr>
      </w:pPr>
    </w:p>
    <w:p w:rsidR="00E15F02" w:rsidRDefault="00E15F02" w:rsidP="00016C6C">
      <w:pPr>
        <w:jc w:val="both"/>
        <w:rPr>
          <w:rFonts w:eastAsiaTheme="minorEastAsia"/>
          <w:b/>
          <w:sz w:val="26"/>
          <w:szCs w:val="26"/>
        </w:rPr>
      </w:pPr>
    </w:p>
    <w:p w:rsidR="00E15F02" w:rsidRPr="00016C6C" w:rsidRDefault="00E15F02" w:rsidP="00016C6C">
      <w:pPr>
        <w:jc w:val="both"/>
        <w:rPr>
          <w:rFonts w:eastAsiaTheme="minorEastAsia"/>
          <w:b/>
          <w:sz w:val="26"/>
          <w:szCs w:val="26"/>
        </w:rPr>
      </w:pPr>
    </w:p>
    <w:p w:rsidR="00016C6C" w:rsidRPr="00016C6C" w:rsidRDefault="00016C6C" w:rsidP="00016C6C">
      <w:pPr>
        <w:ind w:left="5245"/>
        <w:jc w:val="both"/>
        <w:rPr>
          <w:rFonts w:eastAsiaTheme="minorEastAsia"/>
          <w:sz w:val="26"/>
          <w:szCs w:val="26"/>
        </w:rPr>
      </w:pPr>
    </w:p>
    <w:p w:rsidR="00016C6C" w:rsidRPr="00016C6C" w:rsidRDefault="00016C6C" w:rsidP="00E15F02">
      <w:pPr>
        <w:jc w:val="both"/>
        <w:rPr>
          <w:rFonts w:eastAsiaTheme="minorEastAsia"/>
          <w:sz w:val="26"/>
          <w:szCs w:val="26"/>
        </w:rPr>
      </w:pPr>
    </w:p>
    <w:p w:rsidR="00016C6C" w:rsidRPr="00016C6C" w:rsidRDefault="00016C6C" w:rsidP="00016C6C">
      <w:pPr>
        <w:ind w:left="5245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Приложение</w:t>
      </w:r>
    </w:p>
    <w:p w:rsidR="00016C6C" w:rsidRPr="00016C6C" w:rsidRDefault="00016C6C" w:rsidP="00016C6C">
      <w:pPr>
        <w:ind w:left="5245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016C6C">
        <w:rPr>
          <w:rFonts w:eastAsiaTheme="minorEastAsia"/>
          <w:sz w:val="26"/>
          <w:szCs w:val="26"/>
        </w:rPr>
        <w:t>Бутырский</w:t>
      </w:r>
      <w:proofErr w:type="gramEnd"/>
      <w:r w:rsidRPr="00016C6C">
        <w:rPr>
          <w:rFonts w:eastAsiaTheme="minorEastAsia"/>
          <w:sz w:val="26"/>
          <w:szCs w:val="26"/>
        </w:rPr>
        <w:t xml:space="preserve"> от 27.08.2019 № 01-04/13-3</w:t>
      </w:r>
      <w:r w:rsidRPr="00016C6C">
        <w:rPr>
          <w:rFonts w:eastAsiaTheme="minorEastAsia"/>
          <w:b/>
          <w:sz w:val="26"/>
          <w:szCs w:val="26"/>
        </w:rPr>
        <w:t xml:space="preserve"> </w:t>
      </w:r>
    </w:p>
    <w:p w:rsidR="00016C6C" w:rsidRPr="00016C6C" w:rsidRDefault="00016C6C" w:rsidP="00016C6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016C6C" w:rsidRPr="00016C6C" w:rsidRDefault="00016C6C" w:rsidP="00E15F02">
      <w:pPr>
        <w:widowControl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 w:rsidRPr="00016C6C">
        <w:rPr>
          <w:rFonts w:eastAsiaTheme="minorEastAsia"/>
          <w:b/>
          <w:bCs/>
          <w:color w:val="26282F"/>
          <w:sz w:val="26"/>
          <w:szCs w:val="26"/>
        </w:rPr>
        <w:t>Порядок</w:t>
      </w:r>
      <w:r w:rsidRPr="00016C6C">
        <w:rPr>
          <w:rFonts w:eastAsiaTheme="minorEastAsia"/>
          <w:b/>
          <w:bCs/>
          <w:color w:val="26282F"/>
          <w:sz w:val="26"/>
          <w:szCs w:val="26"/>
        </w:rPr>
        <w:br/>
        <w:t xml:space="preserve"> установки ограждений на придомовых территориях в муниципальном округе Бутырский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0" w:name="sub_101"/>
      <w:r w:rsidRPr="00016C6C">
        <w:rPr>
          <w:rFonts w:eastAsiaTheme="minorEastAsia"/>
          <w:sz w:val="26"/>
          <w:szCs w:val="26"/>
        </w:rPr>
        <w:t xml:space="preserve">1. Настоящий Порядок разработан в соответствии с постановлением Правительства Москвы от 02 июля 2013 года № 428-ПП «О порядке установки ограждений на придомовых территориях в городе Москве» (с дополнениями </w:t>
      </w:r>
      <w:r w:rsidR="00E15F02">
        <w:rPr>
          <w:rFonts w:eastAsiaTheme="minorEastAsia"/>
          <w:sz w:val="26"/>
          <w:szCs w:val="26"/>
        </w:rPr>
        <w:t xml:space="preserve">            </w:t>
      </w:r>
      <w:r w:rsidRPr="00016C6C">
        <w:rPr>
          <w:rFonts w:eastAsiaTheme="minorEastAsia"/>
          <w:sz w:val="26"/>
          <w:szCs w:val="26"/>
        </w:rPr>
        <w:t>и изменениями) и регулирует правоотношения, связанные с установкой ограждени</w:t>
      </w:r>
      <w:r w:rsidR="00E15F02">
        <w:rPr>
          <w:rFonts w:eastAsiaTheme="minorEastAsia"/>
          <w:sz w:val="26"/>
          <w:szCs w:val="26"/>
        </w:rPr>
        <w:t>й </w:t>
      </w:r>
      <w:r w:rsidRPr="00016C6C">
        <w:rPr>
          <w:rFonts w:eastAsiaTheme="minorEastAsia"/>
          <w:sz w:val="26"/>
          <w:szCs w:val="26"/>
        </w:rPr>
        <w:t xml:space="preserve"> на придомовых территориях многоквартирных домов муниципальном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округе Бутырский и их демонтажем.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" w:name="sub_102"/>
      <w:bookmarkEnd w:id="0"/>
      <w:r w:rsidRPr="00016C6C">
        <w:rPr>
          <w:rFonts w:eastAsiaTheme="minorEastAsia"/>
          <w:sz w:val="26"/>
          <w:szCs w:val="26"/>
        </w:rPr>
        <w:t>2. 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bookmarkEnd w:id="1"/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3. </w:t>
      </w:r>
      <w:proofErr w:type="gramStart"/>
      <w:r w:rsidRPr="00016C6C">
        <w:rPr>
          <w:rFonts w:eastAsiaTheme="minorEastAsia"/>
          <w:sz w:val="26"/>
          <w:szCs w:val="26"/>
        </w:rPr>
        <w:t>Установка ограждающих устройств осуществляется по решению собственников помещений в многоквартирном доме, принятому на общем собрании</w:t>
      </w:r>
      <w:r w:rsidR="00E15F02">
        <w:rPr>
          <w:rFonts w:eastAsiaTheme="minorEastAsia"/>
          <w:sz w:val="26"/>
          <w:szCs w:val="26"/>
        </w:rPr>
        <w:t xml:space="preserve">   </w:t>
      </w:r>
      <w:r w:rsidRPr="00016C6C">
        <w:rPr>
          <w:rFonts w:eastAsiaTheme="minorEastAsia"/>
          <w:sz w:val="26"/>
          <w:szCs w:val="26"/>
        </w:rPr>
        <w:t xml:space="preserve"> таких собственников помещений в многоквартирном доме, или по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результатам опроса среди собственников помещений в многоквартирном доме, проведенного в рамках реализации пилотного проекта "Электронный дом"</w:t>
      </w:r>
      <w:r w:rsidR="00E15F02">
        <w:rPr>
          <w:rFonts w:eastAsiaTheme="minorEastAsia"/>
          <w:sz w:val="26"/>
          <w:szCs w:val="26"/>
        </w:rPr>
        <w:t xml:space="preserve">       </w:t>
      </w:r>
      <w:r w:rsidRPr="00016C6C">
        <w:rPr>
          <w:rFonts w:eastAsiaTheme="minorEastAsia"/>
          <w:sz w:val="26"/>
          <w:szCs w:val="26"/>
        </w:rPr>
        <w:t xml:space="preserve"> (далее - опрос), инициатором которого выступает собственник помещений в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многоквартирном доме, при условии, что в таком опросе приняли участие и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проголосовали за</w:t>
      </w:r>
      <w:proofErr w:type="gramEnd"/>
      <w:r w:rsidRPr="00016C6C">
        <w:rPr>
          <w:rFonts w:eastAsiaTheme="minorEastAsia"/>
          <w:sz w:val="26"/>
          <w:szCs w:val="26"/>
        </w:rPr>
        <w:t xml:space="preserve"> установку ограждающего устройства более половины от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общего числа физических лиц - собственников помещений в многоквартирном доме.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2" w:name="sub_10033"/>
      <w:r w:rsidRPr="00016C6C">
        <w:rPr>
          <w:rFonts w:eastAsiaTheme="minorEastAsia"/>
          <w:sz w:val="26"/>
          <w:szCs w:val="26"/>
        </w:rPr>
        <w:t>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в границах придомовой территории, определенной в соответствии с</w:t>
      </w:r>
      <w:r w:rsidR="00E15F02">
        <w:rPr>
          <w:rFonts w:eastAsiaTheme="minorEastAsia"/>
          <w:sz w:val="26"/>
          <w:szCs w:val="26"/>
        </w:rPr>
        <w:t xml:space="preserve">  </w:t>
      </w:r>
      <w:r w:rsidRPr="00016C6C">
        <w:rPr>
          <w:rFonts w:eastAsiaTheme="minorEastAsia"/>
          <w:sz w:val="26"/>
          <w:szCs w:val="26"/>
        </w:rPr>
        <w:t>проектом межевания территории.</w:t>
      </w:r>
    </w:p>
    <w:bookmarkEnd w:id="2"/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 в установленном порядке, прилагаются к решению общего собрания собственников помещений в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многоквартирном доме или сформированным на бумажном носителе результатам опроса.</w:t>
      </w:r>
    </w:p>
    <w:p w:rsid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4. В случае</w:t>
      </w:r>
      <w:proofErr w:type="gramStart"/>
      <w:r w:rsidRPr="00016C6C">
        <w:rPr>
          <w:rFonts w:eastAsiaTheme="minorEastAsia"/>
          <w:sz w:val="26"/>
          <w:szCs w:val="26"/>
        </w:rPr>
        <w:t>,</w:t>
      </w:r>
      <w:proofErr w:type="gramEnd"/>
      <w:r w:rsidRPr="00016C6C">
        <w:rPr>
          <w:rFonts w:eastAsiaTheme="minorEastAsia"/>
          <w:sz w:val="26"/>
          <w:szCs w:val="26"/>
        </w:rPr>
        <w:t xml:space="preserve"> если ограждающее устройство устанавливается для регулирования въезда и (или) выезда транспортных средств на придомовые территории двух 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 установку ограждающего устройства не менее половины от общего числа физических лиц - собственников помещений в</w:t>
      </w:r>
      <w:r w:rsidR="00E15F02">
        <w:rPr>
          <w:rFonts w:eastAsiaTheme="minorEastAsia"/>
          <w:sz w:val="26"/>
          <w:szCs w:val="26"/>
        </w:rPr>
        <w:t xml:space="preserve">  </w:t>
      </w:r>
      <w:r w:rsidRPr="00016C6C">
        <w:rPr>
          <w:rFonts w:eastAsiaTheme="minorEastAsia"/>
          <w:sz w:val="26"/>
          <w:szCs w:val="26"/>
        </w:rPr>
        <w:t xml:space="preserve"> </w:t>
      </w:r>
      <w:r w:rsidRPr="00016C6C">
        <w:rPr>
          <w:rFonts w:eastAsiaTheme="minorEastAsia"/>
          <w:sz w:val="26"/>
          <w:szCs w:val="26"/>
        </w:rPr>
        <w:lastRenderedPageBreak/>
        <w:t>многоквартирном доме.</w:t>
      </w:r>
    </w:p>
    <w:p w:rsidR="00E15F02" w:rsidRPr="00016C6C" w:rsidRDefault="00E15F02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3" w:name="sub_5"/>
      <w:r w:rsidRPr="00016C6C">
        <w:rPr>
          <w:rFonts w:eastAsiaTheme="minorEastAsia"/>
          <w:sz w:val="26"/>
          <w:szCs w:val="26"/>
        </w:rPr>
        <w:t>5. В решении общего собрания указываются сведения о лице, уполномоченном на представление интересов собственников помещений в многоквартирном доме по</w:t>
      </w:r>
      <w:r w:rsidR="00E15F02">
        <w:rPr>
          <w:rFonts w:eastAsiaTheme="minorEastAsia"/>
          <w:sz w:val="26"/>
          <w:szCs w:val="26"/>
        </w:rPr>
        <w:t xml:space="preserve">  </w:t>
      </w:r>
      <w:r w:rsidRPr="00016C6C">
        <w:rPr>
          <w:rFonts w:eastAsiaTheme="minorEastAsia"/>
          <w:sz w:val="26"/>
          <w:szCs w:val="26"/>
        </w:rPr>
        <w:t xml:space="preserve"> вопросам, связанным с установкой ограждающих устройств и их демонтажем (далее - уполномоченное собственниками лицо).</w:t>
      </w:r>
    </w:p>
    <w:bookmarkEnd w:id="3"/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5(1). При проведении опроса в составе вопросов, которые планируются к</w:t>
      </w:r>
      <w:r w:rsidR="00E15F02">
        <w:rPr>
          <w:rFonts w:eastAsiaTheme="minorEastAsia"/>
          <w:sz w:val="26"/>
          <w:szCs w:val="26"/>
        </w:rPr>
        <w:t xml:space="preserve">  </w:t>
      </w:r>
      <w:r w:rsidRPr="00016C6C">
        <w:rPr>
          <w:rFonts w:eastAsiaTheme="minorEastAsia"/>
          <w:sz w:val="26"/>
          <w:szCs w:val="26"/>
        </w:rPr>
        <w:t xml:space="preserve"> обсуждению, указываются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порядке въезда на придомовую территорию транспортных средств собственников помещений в многоквартирном доме и иных лиц.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7. </w:t>
      </w:r>
      <w:proofErr w:type="gramStart"/>
      <w:r w:rsidRPr="00016C6C">
        <w:rPr>
          <w:rFonts w:eastAsiaTheme="minorEastAsia"/>
          <w:sz w:val="26"/>
          <w:szCs w:val="26"/>
        </w:rPr>
        <w:t>Решение общего собрания собственников помещений в многоквартирном доме или сформированные на бумажном носителе результаты опроса с</w:t>
      </w:r>
      <w:r w:rsidR="00E15F02">
        <w:rPr>
          <w:rFonts w:eastAsiaTheme="minorEastAsia"/>
          <w:sz w:val="26"/>
          <w:szCs w:val="26"/>
        </w:rPr>
        <w:t xml:space="preserve">    </w:t>
      </w:r>
      <w:r w:rsidRPr="00016C6C">
        <w:rPr>
          <w:rFonts w:eastAsiaTheme="minorEastAsia"/>
          <w:sz w:val="26"/>
          <w:szCs w:val="26"/>
        </w:rPr>
        <w:t xml:space="preserve">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</w:t>
      </w:r>
      <w:r w:rsidR="00E15F02">
        <w:rPr>
          <w:rFonts w:eastAsiaTheme="minorEastAsia"/>
          <w:sz w:val="26"/>
          <w:szCs w:val="26"/>
        </w:rPr>
        <w:t>С</w:t>
      </w:r>
      <w:r w:rsidRPr="00016C6C">
        <w:rPr>
          <w:rFonts w:eastAsiaTheme="minorEastAsia"/>
          <w:sz w:val="26"/>
          <w:szCs w:val="26"/>
        </w:rPr>
        <w:t>овет депутатов муниципального</w:t>
      </w:r>
      <w:proofErr w:type="gramEnd"/>
      <w:r w:rsidRPr="00016C6C">
        <w:rPr>
          <w:rFonts w:eastAsiaTheme="minorEastAsia"/>
          <w:sz w:val="26"/>
          <w:szCs w:val="26"/>
        </w:rPr>
        <w:t xml:space="preserve"> округа Бутырский (далее - </w:t>
      </w:r>
      <w:r w:rsidR="00E15F02">
        <w:rPr>
          <w:rFonts w:eastAsiaTheme="minorEastAsia"/>
          <w:sz w:val="26"/>
          <w:szCs w:val="26"/>
        </w:rPr>
        <w:t>С</w:t>
      </w:r>
      <w:r w:rsidRPr="00016C6C">
        <w:rPr>
          <w:rFonts w:eastAsiaTheme="minorEastAsia"/>
          <w:sz w:val="26"/>
          <w:szCs w:val="26"/>
        </w:rPr>
        <w:t>овет депутатов).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7(1). </w:t>
      </w:r>
      <w:proofErr w:type="gramStart"/>
      <w:r w:rsidRPr="00016C6C">
        <w:rPr>
          <w:rFonts w:eastAsiaTheme="minorEastAsia"/>
          <w:sz w:val="26"/>
          <w:szCs w:val="26"/>
        </w:rPr>
        <w:t>В целях получения сформированных на бумажном носителе результатов опроса для последующего предоставления их в совет депутатов инициатор такого опроса по истечении пяти рабочих дней с даты его окончания обращается по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адресу, указанному в Правилах использования информационной системы проекта "Активный гражданин" при реализации пилотного проекта "Электронный дом", утверждаемых Департаментом информационных технологий города Москвы по согласованию с Государственным казенным учреждением города Москвы</w:t>
      </w:r>
      <w:proofErr w:type="gramEnd"/>
      <w:r w:rsidRPr="00016C6C">
        <w:rPr>
          <w:rFonts w:eastAsiaTheme="minorEastAsia"/>
          <w:sz w:val="26"/>
          <w:szCs w:val="26"/>
        </w:rPr>
        <w:t xml:space="preserve"> "Новые технологии управления", и предъявляет документ, удостоверяющий личность инициатора опроса.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7(2). На следующий рабочий день со дня поступления в Совет депутатов документов согласно </w:t>
      </w:r>
      <w:hyperlink w:anchor="sub_7" w:history="1">
        <w:r w:rsidRPr="00016C6C">
          <w:rPr>
            <w:rFonts w:eastAsiaTheme="minorEastAsia"/>
            <w:sz w:val="26"/>
            <w:szCs w:val="26"/>
          </w:rPr>
          <w:t>пункту 7</w:t>
        </w:r>
      </w:hyperlink>
      <w:r w:rsidRPr="00016C6C">
        <w:rPr>
          <w:rFonts w:eastAsiaTheme="minorEastAsia"/>
          <w:sz w:val="26"/>
          <w:szCs w:val="26"/>
        </w:rPr>
        <w:t xml:space="preserve"> настоящего Порядка проект размещения ограждающего устройства и информация о планируемой дате рассмотрения направляются в управу района города Москвы.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В течение трех рабочих дней со дня поступления в Совет депутатов документов согласно пункту 7 настоящего Порядка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официальном сайте муниципального округа Бутырский.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(</w:t>
      </w:r>
      <w:hyperlink w:anchor="sub_7" w:history="1">
        <w:r w:rsidRPr="00016C6C">
          <w:rPr>
            <w:rFonts w:eastAsiaTheme="minorEastAsia"/>
            <w:sz w:val="26"/>
            <w:szCs w:val="26"/>
          </w:rPr>
          <w:t>п. 7</w:t>
        </w:r>
      </w:hyperlink>
      <w:r w:rsidRPr="00016C6C">
        <w:rPr>
          <w:rFonts w:eastAsiaTheme="minorEastAsia"/>
          <w:sz w:val="26"/>
          <w:szCs w:val="26"/>
        </w:rPr>
        <w:t>).</w:t>
      </w:r>
    </w:p>
    <w:p w:rsid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4" w:name="sub_10081"/>
      <w:r w:rsidRPr="00016C6C">
        <w:rPr>
          <w:rFonts w:eastAsiaTheme="minorEastAsia"/>
          <w:sz w:val="26"/>
          <w:szCs w:val="26"/>
        </w:rPr>
        <w:t>К решению о согласовании установки ограждающего устройства прилагается проект размещения ограждающего устройства.</w:t>
      </w:r>
    </w:p>
    <w:p w:rsidR="00E15F02" w:rsidRPr="00016C6C" w:rsidRDefault="00E15F02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5" w:name="sub_9"/>
      <w:bookmarkEnd w:id="4"/>
      <w:r w:rsidRPr="00016C6C">
        <w:rPr>
          <w:rFonts w:eastAsiaTheme="minorEastAsia"/>
          <w:sz w:val="26"/>
          <w:szCs w:val="26"/>
        </w:rPr>
        <w:t>9. Основаниями для отказа в согласовании Советом депутатов установки ограждающего устройства являются: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6" w:name="sub_91"/>
      <w:bookmarkEnd w:id="5"/>
      <w:r w:rsidRPr="00016C6C">
        <w:rPr>
          <w:rFonts w:eastAsiaTheme="minorEastAsia"/>
          <w:sz w:val="26"/>
          <w:szCs w:val="26"/>
        </w:rPr>
        <w:t>9.1. Несоблюдение требований по обеспечению круглосуточного и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беспрепятственного проезда на придомовую территорию пожарной техники, транспортных сре</w:t>
      </w:r>
      <w:proofErr w:type="gramStart"/>
      <w:r w:rsidRPr="00016C6C">
        <w:rPr>
          <w:rFonts w:eastAsiaTheme="minorEastAsia"/>
          <w:sz w:val="26"/>
          <w:szCs w:val="26"/>
        </w:rPr>
        <w:t>дств пр</w:t>
      </w:r>
      <w:proofErr w:type="gramEnd"/>
      <w:r w:rsidRPr="00016C6C">
        <w:rPr>
          <w:rFonts w:eastAsiaTheme="minorEastAsia"/>
          <w:sz w:val="26"/>
          <w:szCs w:val="26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7" w:name="sub_103"/>
      <w:bookmarkEnd w:id="6"/>
      <w:r w:rsidRPr="00016C6C">
        <w:rPr>
          <w:rFonts w:eastAsiaTheme="minorEastAsia"/>
          <w:sz w:val="26"/>
          <w:szCs w:val="26"/>
        </w:rPr>
        <w:t xml:space="preserve">9.2. 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</w:t>
      </w:r>
      <w:hyperlink r:id="rId7" w:history="1">
        <w:r w:rsidRPr="00016C6C">
          <w:rPr>
            <w:rFonts w:eastAsiaTheme="minorEastAsia"/>
            <w:sz w:val="26"/>
            <w:szCs w:val="26"/>
          </w:rPr>
          <w:t>законодательством</w:t>
        </w:r>
      </w:hyperlink>
      <w:r w:rsidRPr="00016C6C">
        <w:rPr>
          <w:rFonts w:eastAsiaTheme="minorEastAsia"/>
          <w:sz w:val="26"/>
          <w:szCs w:val="26"/>
        </w:rPr>
        <w:t xml:space="preserve"> Российской Федерации о градостроительной деятельности (далее - территории общего пользования).</w:t>
      </w:r>
    </w:p>
    <w:bookmarkEnd w:id="7"/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10. Решение Совета депутатов о согласовании либо об отказе в согласовании установки ограждающего устройства направляется уполномоченному собственниками лицу, в управу Бутырского района города Москвы не позднее 5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рабочих дней со дня его принятия.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>Решение о согласовании установки ограждающего устройства либо об отказе в</w:t>
      </w:r>
      <w:r w:rsidR="00E15F02">
        <w:rPr>
          <w:rFonts w:eastAsiaTheme="minorEastAsia"/>
        </w:rPr>
        <w:t> </w:t>
      </w:r>
      <w:r w:rsidRPr="00016C6C">
        <w:rPr>
          <w:rFonts w:eastAsiaTheme="minorEastAsia"/>
          <w:sz w:val="26"/>
          <w:szCs w:val="26"/>
        </w:rPr>
        <w:t xml:space="preserve"> согласовании установки ограждающего устройства размещается на официальном сайте муниципального округа Бутырский в отсканированном виде не позднее 8</w:t>
      </w:r>
      <w:r w:rsidR="00E15F02">
        <w:rPr>
          <w:rFonts w:eastAsiaTheme="minorEastAsia"/>
          <w:sz w:val="26"/>
          <w:szCs w:val="26"/>
        </w:rPr>
        <w:t xml:space="preserve">   </w:t>
      </w:r>
      <w:r w:rsidRPr="00016C6C">
        <w:rPr>
          <w:rFonts w:eastAsiaTheme="minorEastAsia"/>
          <w:sz w:val="26"/>
          <w:szCs w:val="26"/>
        </w:rPr>
        <w:t>рабочих дней со дня его принятия.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8" w:name="sub_11"/>
      <w:r w:rsidRPr="00016C6C">
        <w:rPr>
          <w:rFonts w:eastAsiaTheme="minorEastAsia"/>
          <w:sz w:val="26"/>
          <w:szCs w:val="26"/>
        </w:rPr>
        <w:t>11.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9" w:name="sub_12"/>
      <w:bookmarkEnd w:id="8"/>
      <w:r w:rsidRPr="00016C6C">
        <w:rPr>
          <w:rFonts w:eastAsiaTheme="minorEastAsia"/>
          <w:sz w:val="26"/>
          <w:szCs w:val="26"/>
        </w:rPr>
        <w:t xml:space="preserve">12. </w:t>
      </w:r>
      <w:proofErr w:type="gramStart"/>
      <w:r w:rsidRPr="00016C6C">
        <w:rPr>
          <w:rFonts w:eastAsiaTheme="minorEastAsia"/>
          <w:sz w:val="26"/>
          <w:szCs w:val="26"/>
        </w:rPr>
        <w:t>Собственники помещений в многоквартирном доме при установке и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последующей эксплуатации ограждающих устройств на придомовых территориях обеспечивают круглосуточный и беспрепятственный проезд на</w:t>
      </w:r>
      <w:r w:rsidR="00E15F02">
        <w:rPr>
          <w:rFonts w:eastAsiaTheme="minorEastAsia"/>
          <w:sz w:val="26"/>
          <w:szCs w:val="26"/>
        </w:rPr>
        <w:t xml:space="preserve">   </w:t>
      </w:r>
      <w:r w:rsidRPr="00016C6C">
        <w:rPr>
          <w:rFonts w:eastAsiaTheme="minorEastAsia"/>
          <w:sz w:val="26"/>
          <w:szCs w:val="26"/>
        </w:rPr>
        <w:t xml:space="preserve">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ликвидации последствий стихийных бедствий, организаций газового хозяйства и</w:t>
      </w:r>
      <w:r w:rsidR="00E15F02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коммунальных служб.</w:t>
      </w:r>
      <w:proofErr w:type="gramEnd"/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0" w:name="sub_13"/>
      <w:bookmarkEnd w:id="9"/>
      <w:r w:rsidRPr="00016C6C">
        <w:rPr>
          <w:rFonts w:eastAsiaTheme="minorEastAsia"/>
          <w:sz w:val="26"/>
          <w:szCs w:val="26"/>
        </w:rPr>
        <w:t>13.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1" w:name="sub_14"/>
      <w:bookmarkEnd w:id="10"/>
      <w:r w:rsidRPr="00016C6C">
        <w:rPr>
          <w:rFonts w:eastAsiaTheme="minorEastAsia"/>
          <w:sz w:val="26"/>
          <w:szCs w:val="26"/>
        </w:rPr>
        <w:t xml:space="preserve">14. В случае нарушения требований настоящего </w:t>
      </w:r>
      <w:proofErr w:type="gramStart"/>
      <w:r w:rsidRPr="00016C6C">
        <w:rPr>
          <w:rFonts w:eastAsiaTheme="minorEastAsia"/>
          <w:sz w:val="26"/>
          <w:szCs w:val="26"/>
        </w:rPr>
        <w:t>Порядка</w:t>
      </w:r>
      <w:proofErr w:type="gramEnd"/>
      <w:r w:rsidRPr="00016C6C">
        <w:rPr>
          <w:rFonts w:eastAsiaTheme="minorEastAsia"/>
          <w:sz w:val="26"/>
          <w:szCs w:val="26"/>
        </w:rPr>
        <w:t xml:space="preserve"> при установке ограждающих устройств ограждающие устройства подлежат демонтажу и</w:t>
      </w:r>
      <w:r w:rsidR="00855D48">
        <w:rPr>
          <w:rFonts w:eastAsiaTheme="minorEastAsia"/>
          <w:sz w:val="26"/>
          <w:szCs w:val="26"/>
        </w:rPr>
        <w:t xml:space="preserve">  </w:t>
      </w:r>
      <w:r w:rsidR="00855D48">
        <w:rPr>
          <w:rFonts w:eastAsiaTheme="minorEastAsia"/>
        </w:rPr>
        <w:t> </w:t>
      </w:r>
      <w:r w:rsidRPr="00016C6C">
        <w:rPr>
          <w:rFonts w:eastAsiaTheme="minorEastAsia"/>
          <w:sz w:val="26"/>
          <w:szCs w:val="26"/>
        </w:rPr>
        <w:t xml:space="preserve">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</w:t>
      </w:r>
      <w:r w:rsidR="00855D48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являющихся объектами капитального строительства.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2" w:name="sub_15"/>
      <w:bookmarkEnd w:id="11"/>
      <w:r w:rsidRPr="00016C6C">
        <w:rPr>
          <w:rFonts w:eastAsiaTheme="minorEastAsia"/>
          <w:sz w:val="26"/>
          <w:szCs w:val="26"/>
        </w:rPr>
        <w:t xml:space="preserve">15. </w:t>
      </w:r>
      <w:proofErr w:type="gramStart"/>
      <w:r w:rsidRPr="00016C6C">
        <w:rPr>
          <w:rFonts w:eastAsiaTheme="minorEastAsia"/>
          <w:sz w:val="26"/>
          <w:szCs w:val="26"/>
        </w:rPr>
        <w:t>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</w:t>
      </w:r>
      <w:r w:rsidR="00855D48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приобретение и установку такого ограждающего устройства, определяемых на</w:t>
      </w:r>
      <w:r w:rsidR="00855D48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основании отчета независимой оценки.</w:t>
      </w:r>
      <w:proofErr w:type="gramEnd"/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3" w:name="sub_16"/>
      <w:bookmarkEnd w:id="12"/>
      <w:r w:rsidRPr="00016C6C">
        <w:rPr>
          <w:rFonts w:eastAsiaTheme="minorEastAsia"/>
          <w:sz w:val="26"/>
          <w:szCs w:val="26"/>
        </w:rPr>
        <w:t>16. Выплата компенсации (</w:t>
      </w:r>
      <w:hyperlink w:anchor="sub_15" w:history="1">
        <w:r w:rsidRPr="00016C6C">
          <w:rPr>
            <w:rFonts w:eastAsiaTheme="minorEastAsia"/>
            <w:sz w:val="26"/>
            <w:szCs w:val="26"/>
          </w:rPr>
          <w:t>п. 15</w:t>
        </w:r>
      </w:hyperlink>
      <w:r w:rsidRPr="00016C6C">
        <w:rPr>
          <w:rFonts w:eastAsiaTheme="minorEastAsia"/>
          <w:sz w:val="26"/>
          <w:szCs w:val="26"/>
        </w:rPr>
        <w:t>) производится государственным заказчиком работ по благоустройству территории или государственным заказчиком работ по</w:t>
      </w:r>
      <w:r w:rsidR="00855D48">
        <w:rPr>
          <w:rFonts w:eastAsiaTheme="minorEastAsia"/>
          <w:sz w:val="26"/>
          <w:szCs w:val="26"/>
        </w:rPr>
        <w:t> </w:t>
      </w:r>
      <w:r w:rsidRPr="00016C6C">
        <w:rPr>
          <w:rFonts w:eastAsiaTheme="minorEastAsia"/>
          <w:sz w:val="26"/>
          <w:szCs w:val="26"/>
        </w:rPr>
        <w:t xml:space="preserve">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- государственный заказчик), на основании документов (п. 18).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4" w:name="sub_17"/>
      <w:bookmarkEnd w:id="13"/>
      <w:r w:rsidRPr="00016C6C">
        <w:rPr>
          <w:rFonts w:eastAsiaTheme="minorEastAsia"/>
          <w:sz w:val="26"/>
          <w:szCs w:val="26"/>
        </w:rPr>
        <w:t xml:space="preserve">17. </w:t>
      </w:r>
      <w:proofErr w:type="gramStart"/>
      <w:r w:rsidRPr="00016C6C">
        <w:rPr>
          <w:rFonts w:eastAsiaTheme="minorEastAsia"/>
          <w:sz w:val="26"/>
          <w:szCs w:val="26"/>
        </w:rPr>
        <w:t xml:space="preserve">В случаях, предусмотренных </w:t>
      </w:r>
      <w:hyperlink w:anchor="sub_15" w:history="1">
        <w:r w:rsidRPr="00016C6C">
          <w:rPr>
            <w:rFonts w:eastAsiaTheme="minorEastAsia"/>
            <w:sz w:val="26"/>
            <w:szCs w:val="26"/>
          </w:rPr>
          <w:t>пунктом 15</w:t>
        </w:r>
      </w:hyperlink>
      <w:r w:rsidRPr="00016C6C">
        <w:rPr>
          <w:rFonts w:eastAsiaTheme="minorEastAsia"/>
          <w:sz w:val="26"/>
          <w:szCs w:val="26"/>
        </w:rPr>
        <w:t xml:space="preserve"> настоящего Порядка, государственный заказчик обеспечивает размещение в средствах массовой информации, на официальных сайтах государственного заказчика, префектуры Северо-Восточного административного округа города Москвы и управы Бутырского района города Москвы в информационно-телекоммуникационной сети Интернет, досках объявлений префектуры Северо-Восточного административного округа города Москвы и управы Бутырского района города Москвы, а также непосредственно на ограждающих устройствах следующей информации:</w:t>
      </w:r>
      <w:proofErr w:type="gramEnd"/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5" w:name="sub_171"/>
      <w:bookmarkEnd w:id="14"/>
      <w:r w:rsidRPr="00016C6C">
        <w:rPr>
          <w:rFonts w:eastAsiaTheme="minorEastAsia"/>
          <w:sz w:val="26"/>
          <w:szCs w:val="26"/>
        </w:rPr>
        <w:t>17.1. О дате проведения работ по демонтажу ограждающего устройства.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6" w:name="sub_172"/>
      <w:bookmarkEnd w:id="15"/>
      <w:r w:rsidRPr="00016C6C">
        <w:rPr>
          <w:rFonts w:eastAsiaTheme="minorEastAsia"/>
          <w:sz w:val="26"/>
          <w:szCs w:val="26"/>
        </w:rPr>
        <w:t xml:space="preserve">17.2. О месте, сроке предоставления и перечне документов, представляемых государственному заказчику в целях выплаты компенсации, предусмотренной </w:t>
      </w:r>
      <w:hyperlink w:anchor="sub_14" w:history="1">
        <w:r w:rsidRPr="00016C6C">
          <w:rPr>
            <w:rFonts w:eastAsiaTheme="minorEastAsia"/>
            <w:sz w:val="26"/>
            <w:szCs w:val="26"/>
          </w:rPr>
          <w:t>пунктом 14</w:t>
        </w:r>
      </w:hyperlink>
      <w:r w:rsidRPr="00016C6C">
        <w:rPr>
          <w:rFonts w:eastAsiaTheme="minorEastAsia"/>
          <w:sz w:val="26"/>
          <w:szCs w:val="26"/>
        </w:rPr>
        <w:t xml:space="preserve"> настоящего Порядка.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7" w:name="sub_18"/>
      <w:bookmarkEnd w:id="16"/>
      <w:r w:rsidRPr="00016C6C">
        <w:rPr>
          <w:rFonts w:eastAsiaTheme="minorEastAsia"/>
          <w:sz w:val="26"/>
          <w:szCs w:val="26"/>
        </w:rPr>
        <w:t>18. В качестве документов, являющихся основанием для выплаты компенсации, уполномоченным собственниками лицом представляются:</w:t>
      </w:r>
    </w:p>
    <w:bookmarkEnd w:id="17"/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r w:rsidRPr="00016C6C">
        <w:rPr>
          <w:rFonts w:eastAsiaTheme="minorEastAsia"/>
          <w:sz w:val="26"/>
          <w:szCs w:val="26"/>
        </w:rPr>
        <w:t xml:space="preserve">18.1. Решение общего собрания собственников помещений в многоквартирном доме или результаты опроса об установке ограждающего устройства, согласованные в соответствии с </w:t>
      </w:r>
      <w:hyperlink w:anchor="sub_7" w:history="1">
        <w:r w:rsidRPr="00016C6C">
          <w:rPr>
            <w:rFonts w:eastAsiaTheme="minorEastAsia"/>
            <w:sz w:val="26"/>
            <w:szCs w:val="26"/>
          </w:rPr>
          <w:t>пунктами 7</w:t>
        </w:r>
      </w:hyperlink>
      <w:r w:rsidRPr="00016C6C">
        <w:rPr>
          <w:rFonts w:eastAsiaTheme="minorEastAsia"/>
          <w:sz w:val="26"/>
          <w:szCs w:val="26"/>
        </w:rPr>
        <w:t xml:space="preserve"> и </w:t>
      </w:r>
      <w:hyperlink w:anchor="sub_8" w:history="1">
        <w:r w:rsidRPr="00016C6C">
          <w:rPr>
            <w:rFonts w:eastAsiaTheme="minorEastAsia"/>
            <w:sz w:val="26"/>
            <w:szCs w:val="26"/>
          </w:rPr>
          <w:t>8</w:t>
        </w:r>
      </w:hyperlink>
      <w:r w:rsidRPr="00016C6C">
        <w:rPr>
          <w:rFonts w:eastAsiaTheme="minorEastAsia"/>
          <w:sz w:val="26"/>
          <w:szCs w:val="26"/>
        </w:rPr>
        <w:t xml:space="preserve"> настоящего Порядка с советом депутатов.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8" w:name="sub_182"/>
      <w:r w:rsidRPr="00016C6C">
        <w:rPr>
          <w:rFonts w:eastAsiaTheme="minorEastAsia"/>
          <w:sz w:val="26"/>
          <w:szCs w:val="26"/>
        </w:rPr>
        <w:t>18.2. Документы, подтверждающие факт приобретения и (или) установки ограждающего устройства.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19" w:name="sub_183"/>
      <w:bookmarkEnd w:id="18"/>
      <w:r w:rsidRPr="00016C6C">
        <w:rPr>
          <w:rFonts w:eastAsiaTheme="minorEastAsia"/>
          <w:sz w:val="26"/>
          <w:szCs w:val="26"/>
        </w:rPr>
        <w:t>18.3. Реквизиты банковского счета уполномоченного собственниками лица для перечисления денежных сре</w:t>
      </w:r>
      <w:proofErr w:type="gramStart"/>
      <w:r w:rsidRPr="00016C6C">
        <w:rPr>
          <w:rFonts w:eastAsiaTheme="minorEastAsia"/>
          <w:sz w:val="26"/>
          <w:szCs w:val="26"/>
        </w:rPr>
        <w:t>дств в к</w:t>
      </w:r>
      <w:proofErr w:type="gramEnd"/>
      <w:r w:rsidRPr="00016C6C">
        <w:rPr>
          <w:rFonts w:eastAsiaTheme="minorEastAsia"/>
          <w:sz w:val="26"/>
          <w:szCs w:val="26"/>
        </w:rPr>
        <w:t>ачестве компенсации за демонтаж ограждающего устройства.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20" w:name="sub_19"/>
      <w:bookmarkEnd w:id="19"/>
      <w:r w:rsidRPr="00016C6C">
        <w:rPr>
          <w:rFonts w:eastAsiaTheme="minorEastAsia"/>
          <w:sz w:val="26"/>
          <w:szCs w:val="26"/>
        </w:rPr>
        <w:t>19. Государственный заказчик: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21" w:name="sub_191"/>
      <w:bookmarkEnd w:id="20"/>
      <w:r w:rsidRPr="00016C6C">
        <w:rPr>
          <w:rFonts w:eastAsiaTheme="minorEastAsia"/>
          <w:sz w:val="26"/>
          <w:szCs w:val="26"/>
        </w:rPr>
        <w:t>19.1. Обеспечивает проведение независимой оценки стоимости подлежащего демонтажу ограждающего устройства.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22" w:name="sub_192"/>
      <w:bookmarkEnd w:id="21"/>
      <w:r w:rsidRPr="00016C6C">
        <w:rPr>
          <w:rFonts w:eastAsiaTheme="minorEastAsia"/>
          <w:sz w:val="26"/>
          <w:szCs w:val="26"/>
        </w:rPr>
        <w:t>19.2. Осуществляет перечисление на банковский счет (</w:t>
      </w:r>
      <w:hyperlink w:anchor="sub_183" w:history="1">
        <w:r w:rsidRPr="00016C6C">
          <w:rPr>
            <w:rFonts w:eastAsiaTheme="minorEastAsia"/>
            <w:sz w:val="26"/>
            <w:szCs w:val="26"/>
          </w:rPr>
          <w:t>п. 18.3</w:t>
        </w:r>
      </w:hyperlink>
      <w:r w:rsidRPr="00016C6C">
        <w:rPr>
          <w:rFonts w:eastAsiaTheme="minorEastAsia"/>
          <w:sz w:val="26"/>
          <w:szCs w:val="26"/>
        </w:rPr>
        <w:t>) денежных сре</w:t>
      </w:r>
      <w:proofErr w:type="gramStart"/>
      <w:r w:rsidRPr="00016C6C">
        <w:rPr>
          <w:rFonts w:eastAsiaTheme="minorEastAsia"/>
          <w:sz w:val="26"/>
          <w:szCs w:val="26"/>
        </w:rPr>
        <w:t>дств в к</w:t>
      </w:r>
      <w:proofErr w:type="gramEnd"/>
      <w:r w:rsidRPr="00016C6C">
        <w:rPr>
          <w:rFonts w:eastAsiaTheme="minorEastAsia"/>
          <w:sz w:val="26"/>
          <w:szCs w:val="26"/>
        </w:rPr>
        <w:t>ачестве компенсации за демонтаж ограждающего устройства в размере, определенном в отчете об оценке подлежащего демонтажу ограждающего устройства.</w:t>
      </w:r>
    </w:p>
    <w:p w:rsidR="00016C6C" w:rsidRPr="00016C6C" w:rsidRDefault="00016C6C" w:rsidP="00E15F0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6"/>
          <w:szCs w:val="26"/>
        </w:rPr>
      </w:pPr>
      <w:bookmarkStart w:id="23" w:name="sub_20"/>
      <w:bookmarkEnd w:id="22"/>
      <w:r w:rsidRPr="00016C6C">
        <w:rPr>
          <w:rFonts w:eastAsiaTheme="minorEastAsia"/>
          <w:sz w:val="26"/>
          <w:szCs w:val="26"/>
        </w:rPr>
        <w:t>20. Размер денежной компенсации, определенный на основании отчета об оценке, может быть обжалован собственниками помещений в многоквартирном доме в соответствии с законодательством Российской Федерации, в том числе в</w:t>
      </w:r>
      <w:r w:rsidR="00855D48">
        <w:rPr>
          <w:rFonts w:eastAsiaTheme="minorEastAsia"/>
          <w:sz w:val="26"/>
          <w:szCs w:val="26"/>
        </w:rPr>
        <w:t> </w:t>
      </w:r>
      <w:bookmarkStart w:id="24" w:name="_GoBack"/>
      <w:bookmarkEnd w:id="24"/>
      <w:r w:rsidRPr="00016C6C">
        <w:rPr>
          <w:rFonts w:eastAsiaTheme="minorEastAsia"/>
          <w:sz w:val="26"/>
          <w:szCs w:val="26"/>
        </w:rPr>
        <w:t xml:space="preserve"> судебном порядке.</w:t>
      </w:r>
    </w:p>
    <w:bookmarkEnd w:id="23"/>
    <w:p w:rsidR="00016C6C" w:rsidRPr="00016C6C" w:rsidRDefault="00016C6C" w:rsidP="00016C6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E77A10" w:rsidRPr="00016C6C" w:rsidRDefault="00E77A10" w:rsidP="00016C6C"/>
    <w:sectPr w:rsidR="00E77A10" w:rsidRPr="00016C6C" w:rsidSect="00E15F02">
      <w:pgSz w:w="11900" w:h="16800"/>
      <w:pgMar w:top="1440" w:right="799" w:bottom="124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16C6C"/>
    <w:rsid w:val="00054C64"/>
    <w:rsid w:val="000A76D2"/>
    <w:rsid w:val="00101355"/>
    <w:rsid w:val="00151257"/>
    <w:rsid w:val="00164F38"/>
    <w:rsid w:val="001751EF"/>
    <w:rsid w:val="00251037"/>
    <w:rsid w:val="002B5A1E"/>
    <w:rsid w:val="002F6FB7"/>
    <w:rsid w:val="003A5739"/>
    <w:rsid w:val="004004B6"/>
    <w:rsid w:val="004740F0"/>
    <w:rsid w:val="004C41A3"/>
    <w:rsid w:val="005018B4"/>
    <w:rsid w:val="00531A82"/>
    <w:rsid w:val="00610384"/>
    <w:rsid w:val="00647717"/>
    <w:rsid w:val="006E1A3A"/>
    <w:rsid w:val="00722147"/>
    <w:rsid w:val="007E2850"/>
    <w:rsid w:val="007F4984"/>
    <w:rsid w:val="008230CE"/>
    <w:rsid w:val="00847306"/>
    <w:rsid w:val="00855D48"/>
    <w:rsid w:val="00901BAA"/>
    <w:rsid w:val="009704C0"/>
    <w:rsid w:val="00A56DC5"/>
    <w:rsid w:val="00A66E5C"/>
    <w:rsid w:val="00BB1FEE"/>
    <w:rsid w:val="00BC4FF1"/>
    <w:rsid w:val="00C000E5"/>
    <w:rsid w:val="00C7081D"/>
    <w:rsid w:val="00C8601A"/>
    <w:rsid w:val="00CA1331"/>
    <w:rsid w:val="00CF0D41"/>
    <w:rsid w:val="00D035A1"/>
    <w:rsid w:val="00DF7882"/>
    <w:rsid w:val="00E0757E"/>
    <w:rsid w:val="00E15F02"/>
    <w:rsid w:val="00E26475"/>
    <w:rsid w:val="00E77A10"/>
    <w:rsid w:val="00E9346A"/>
    <w:rsid w:val="00E9760B"/>
    <w:rsid w:val="00F122C3"/>
    <w:rsid w:val="00F169D9"/>
    <w:rsid w:val="00F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C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4FF1"/>
    <w:pPr>
      <w:ind w:left="720"/>
      <w:contextualSpacing/>
    </w:pPr>
  </w:style>
  <w:style w:type="paragraph" w:styleId="a4">
    <w:name w:val="No Spacing"/>
    <w:uiPriority w:val="1"/>
    <w:qFormat/>
    <w:rsid w:val="0010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60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1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4C6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54C64"/>
    <w:rPr>
      <w:b w:val="0"/>
      <w:bCs w:val="0"/>
      <w:color w:val="106BBE"/>
    </w:rPr>
  </w:style>
  <w:style w:type="character" w:styleId="a8">
    <w:name w:val="Hyperlink"/>
    <w:basedOn w:val="a0"/>
    <w:uiPriority w:val="99"/>
    <w:semiHidden/>
    <w:unhideWhenUsed/>
    <w:rsid w:val="00054C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C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4FF1"/>
    <w:pPr>
      <w:ind w:left="720"/>
      <w:contextualSpacing/>
    </w:pPr>
  </w:style>
  <w:style w:type="paragraph" w:styleId="a4">
    <w:name w:val="No Spacing"/>
    <w:uiPriority w:val="1"/>
    <w:qFormat/>
    <w:rsid w:val="0010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60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1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4C6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54C64"/>
    <w:rPr>
      <w:b w:val="0"/>
      <w:bCs w:val="0"/>
      <w:color w:val="106BBE"/>
    </w:rPr>
  </w:style>
  <w:style w:type="character" w:styleId="a8">
    <w:name w:val="Hyperlink"/>
    <w:basedOn w:val="a0"/>
    <w:uiPriority w:val="99"/>
    <w:semiHidden/>
    <w:unhideWhenUsed/>
    <w:rsid w:val="00054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58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2015-11-30T09:15:00Z</cp:lastPrinted>
  <dcterms:created xsi:type="dcterms:W3CDTF">2013-06-20T05:45:00Z</dcterms:created>
  <dcterms:modified xsi:type="dcterms:W3CDTF">2019-09-02T10:57:00Z</dcterms:modified>
</cp:coreProperties>
</file>